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5" w:rsidRDefault="00675D75" w:rsidP="00675D75">
      <w:pPr>
        <w:spacing w:after="200" w:line="276" w:lineRule="auto"/>
        <w:jc w:val="center"/>
        <w:rPr>
          <w:noProof/>
        </w:rPr>
      </w:pPr>
    </w:p>
    <w:p w:rsidR="007B5580" w:rsidRDefault="007B5580" w:rsidP="00675D75">
      <w:pPr>
        <w:spacing w:after="200" w:line="276" w:lineRule="auto"/>
        <w:jc w:val="center"/>
        <w:rPr>
          <w:noProof/>
        </w:rPr>
      </w:pPr>
    </w:p>
    <w:p w:rsidR="007B5580" w:rsidRDefault="007B5580" w:rsidP="00675D75">
      <w:pPr>
        <w:spacing w:after="200" w:line="276" w:lineRule="auto"/>
        <w:jc w:val="center"/>
        <w:rPr>
          <w:lang w:val="en-US"/>
        </w:rPr>
      </w:pPr>
    </w:p>
    <w:p w:rsidR="00675D75" w:rsidRPr="004C14FF" w:rsidRDefault="00675D75" w:rsidP="00675D7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75D75" w:rsidRPr="0025472A" w:rsidRDefault="00675D75" w:rsidP="00675D7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0512B" w:rsidRPr="0060512B" w:rsidRDefault="0060512B" w:rsidP="0060512B">
      <w:pPr>
        <w:jc w:val="right"/>
        <w:rPr>
          <w:sz w:val="28"/>
          <w:szCs w:val="28"/>
        </w:rPr>
      </w:pPr>
    </w:p>
    <w:p w:rsidR="0060512B" w:rsidRPr="0060512B" w:rsidRDefault="005A0DD7" w:rsidP="005A0D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 апреля 2020 г. № 131</w:t>
      </w:r>
    </w:p>
    <w:p w:rsidR="0060512B" w:rsidRDefault="005A0DD7" w:rsidP="005A0D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60512B" w:rsidRPr="0060512B" w:rsidRDefault="0060512B" w:rsidP="0060512B">
      <w:pPr>
        <w:jc w:val="center"/>
        <w:rPr>
          <w:sz w:val="28"/>
          <w:szCs w:val="28"/>
        </w:rPr>
      </w:pPr>
    </w:p>
    <w:p w:rsidR="00323FDE" w:rsidRDefault="0060512B" w:rsidP="0060512B">
      <w:pPr>
        <w:jc w:val="center"/>
        <w:rPr>
          <w:b/>
          <w:sz w:val="28"/>
          <w:szCs w:val="28"/>
        </w:rPr>
      </w:pPr>
      <w:r w:rsidRPr="0060512B">
        <w:rPr>
          <w:b/>
          <w:sz w:val="28"/>
          <w:szCs w:val="28"/>
        </w:rPr>
        <w:t xml:space="preserve">Об итогах деятельности Министерства </w:t>
      </w:r>
    </w:p>
    <w:p w:rsidR="00323FDE" w:rsidRDefault="0060512B" w:rsidP="0060512B">
      <w:pPr>
        <w:jc w:val="center"/>
        <w:rPr>
          <w:b/>
          <w:sz w:val="28"/>
          <w:szCs w:val="28"/>
        </w:rPr>
      </w:pPr>
      <w:r w:rsidRPr="0060512B">
        <w:rPr>
          <w:b/>
          <w:sz w:val="28"/>
          <w:szCs w:val="28"/>
        </w:rPr>
        <w:t xml:space="preserve">сельского хозяйства и продовольствия </w:t>
      </w:r>
    </w:p>
    <w:p w:rsidR="0060512B" w:rsidRPr="0060512B" w:rsidRDefault="0060512B" w:rsidP="0060512B">
      <w:pPr>
        <w:jc w:val="center"/>
        <w:rPr>
          <w:b/>
          <w:sz w:val="28"/>
          <w:szCs w:val="28"/>
        </w:rPr>
      </w:pPr>
      <w:r w:rsidRPr="0060512B">
        <w:rPr>
          <w:b/>
          <w:sz w:val="28"/>
          <w:szCs w:val="28"/>
        </w:rPr>
        <w:t xml:space="preserve">Республики Тыва за 2019 год и о </w:t>
      </w:r>
      <w:proofErr w:type="gramStart"/>
      <w:r w:rsidRPr="0060512B">
        <w:rPr>
          <w:b/>
          <w:sz w:val="28"/>
          <w:szCs w:val="28"/>
        </w:rPr>
        <w:t>приоритетных</w:t>
      </w:r>
      <w:proofErr w:type="gramEnd"/>
    </w:p>
    <w:p w:rsidR="0060512B" w:rsidRPr="0060512B" w:rsidRDefault="0060512B" w:rsidP="0060512B">
      <w:pPr>
        <w:jc w:val="center"/>
        <w:rPr>
          <w:b/>
          <w:sz w:val="28"/>
          <w:szCs w:val="28"/>
        </w:rPr>
      </w:pPr>
      <w:proofErr w:type="gramStart"/>
      <w:r w:rsidRPr="0060512B">
        <w:rPr>
          <w:b/>
          <w:sz w:val="28"/>
          <w:szCs w:val="28"/>
        </w:rPr>
        <w:t>направлениях</w:t>
      </w:r>
      <w:proofErr w:type="gramEnd"/>
      <w:r w:rsidRPr="0060512B">
        <w:rPr>
          <w:b/>
          <w:sz w:val="28"/>
          <w:szCs w:val="28"/>
        </w:rPr>
        <w:t xml:space="preserve"> деятельности на 2020 год</w:t>
      </w:r>
    </w:p>
    <w:p w:rsidR="0060512B" w:rsidRPr="0060512B" w:rsidRDefault="0060512B" w:rsidP="0060512B">
      <w:pPr>
        <w:jc w:val="center"/>
        <w:rPr>
          <w:sz w:val="28"/>
          <w:szCs w:val="28"/>
        </w:rPr>
      </w:pPr>
    </w:p>
    <w:p w:rsidR="0060512B" w:rsidRDefault="0060512B" w:rsidP="0060512B">
      <w:pPr>
        <w:rPr>
          <w:sz w:val="28"/>
          <w:szCs w:val="28"/>
        </w:rPr>
      </w:pPr>
    </w:p>
    <w:p w:rsidR="0060512B" w:rsidRPr="0060512B" w:rsidRDefault="0060512B" w:rsidP="0060512B">
      <w:pPr>
        <w:spacing w:line="360" w:lineRule="atLeast"/>
        <w:ind w:firstLine="709"/>
        <w:jc w:val="both"/>
        <w:rPr>
          <w:sz w:val="28"/>
          <w:szCs w:val="28"/>
        </w:rPr>
      </w:pPr>
      <w:r w:rsidRPr="0060512B">
        <w:rPr>
          <w:sz w:val="28"/>
          <w:szCs w:val="28"/>
        </w:rPr>
        <w:t xml:space="preserve">В целях реализации Послания Главы Республики Тыва Верховному Хуралу (парламенту) Республики Тыва </w:t>
      </w:r>
      <w:r w:rsidRPr="0060512B">
        <w:rPr>
          <w:color w:val="000000"/>
          <w:sz w:val="28"/>
          <w:szCs w:val="28"/>
        </w:rPr>
        <w:t>о положении дел в республике и внутренней пол</w:t>
      </w:r>
      <w:r w:rsidRPr="0060512B">
        <w:rPr>
          <w:color w:val="000000"/>
          <w:sz w:val="28"/>
          <w:szCs w:val="28"/>
        </w:rPr>
        <w:t>и</w:t>
      </w:r>
      <w:r w:rsidRPr="0060512B">
        <w:rPr>
          <w:color w:val="000000"/>
          <w:sz w:val="28"/>
          <w:szCs w:val="28"/>
        </w:rPr>
        <w:t xml:space="preserve">тике на 2020 год </w:t>
      </w:r>
      <w:r w:rsidRPr="0060512B">
        <w:rPr>
          <w:sz w:val="28"/>
          <w:szCs w:val="28"/>
        </w:rPr>
        <w:t>«Новая энергия развития. Жить в Туве. Гордиться Тувой»</w:t>
      </w:r>
      <w:r>
        <w:rPr>
          <w:sz w:val="28"/>
          <w:szCs w:val="28"/>
        </w:rPr>
        <w:t xml:space="preserve"> </w:t>
      </w:r>
      <w:r w:rsidRPr="0060512B">
        <w:rPr>
          <w:color w:val="000000"/>
          <w:sz w:val="28"/>
          <w:szCs w:val="28"/>
        </w:rPr>
        <w:t>от 12 д</w:t>
      </w:r>
      <w:r w:rsidRPr="0060512B">
        <w:rPr>
          <w:color w:val="000000"/>
          <w:sz w:val="28"/>
          <w:szCs w:val="28"/>
        </w:rPr>
        <w:t>е</w:t>
      </w:r>
      <w:r w:rsidRPr="0060512B">
        <w:rPr>
          <w:color w:val="000000"/>
          <w:sz w:val="28"/>
          <w:szCs w:val="28"/>
        </w:rPr>
        <w:t xml:space="preserve">кабря 2019 г. </w:t>
      </w:r>
      <w:r w:rsidRPr="0060512B">
        <w:rPr>
          <w:sz w:val="28"/>
          <w:szCs w:val="28"/>
        </w:rPr>
        <w:t>Правительство Республики Тыва ПОСТАНОВЛЯЕТ:</w:t>
      </w:r>
    </w:p>
    <w:p w:rsidR="0060512B" w:rsidRPr="0060512B" w:rsidRDefault="0060512B" w:rsidP="0060512B">
      <w:pPr>
        <w:spacing w:line="360" w:lineRule="atLeast"/>
        <w:ind w:firstLine="709"/>
        <w:jc w:val="both"/>
        <w:rPr>
          <w:sz w:val="28"/>
          <w:szCs w:val="28"/>
        </w:rPr>
      </w:pPr>
    </w:p>
    <w:p w:rsidR="0060512B" w:rsidRPr="0060512B" w:rsidRDefault="0060512B" w:rsidP="00323FDE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60512B">
        <w:rPr>
          <w:sz w:val="28"/>
          <w:szCs w:val="28"/>
        </w:rPr>
        <w:t>1. Принять к сведению информацию министра сельского хозяйства и прод</w:t>
      </w:r>
      <w:r w:rsidRPr="0060512B">
        <w:rPr>
          <w:sz w:val="28"/>
          <w:szCs w:val="28"/>
        </w:rPr>
        <w:t>о</w:t>
      </w:r>
      <w:r w:rsidRPr="0060512B">
        <w:rPr>
          <w:sz w:val="28"/>
          <w:szCs w:val="28"/>
        </w:rPr>
        <w:t>вольствия Республики Тыва об итогах деятельности Министерства сельского хозя</w:t>
      </w:r>
      <w:r w:rsidRPr="0060512B">
        <w:rPr>
          <w:sz w:val="28"/>
          <w:szCs w:val="28"/>
        </w:rPr>
        <w:t>й</w:t>
      </w:r>
      <w:r w:rsidRPr="0060512B">
        <w:rPr>
          <w:sz w:val="28"/>
          <w:szCs w:val="28"/>
        </w:rPr>
        <w:t>ства и продовольствия Республики Тыва за 2019 год.</w:t>
      </w:r>
    </w:p>
    <w:p w:rsidR="0060512B" w:rsidRPr="0060512B" w:rsidRDefault="0060512B" w:rsidP="00323FDE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60512B">
        <w:rPr>
          <w:sz w:val="28"/>
          <w:szCs w:val="28"/>
        </w:rPr>
        <w:t>2. Определить приоритетными направлениями деятельности Министерства сельского хозяйства и продовольствия Республики Тыва на 2020 год:</w:t>
      </w:r>
    </w:p>
    <w:p w:rsidR="0060512B" w:rsidRPr="0060512B" w:rsidRDefault="000B14F8" w:rsidP="00323FDE">
      <w:pPr>
        <w:pStyle w:val="a5"/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512B" w:rsidRPr="0060512B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60512B" w:rsidRPr="0060512B">
        <w:rPr>
          <w:sz w:val="28"/>
          <w:szCs w:val="28"/>
        </w:rPr>
        <w:t xml:space="preserve"> губернаторского проекта «</w:t>
      </w:r>
      <w:proofErr w:type="spellStart"/>
      <w:r w:rsidR="0060512B" w:rsidRPr="0060512B">
        <w:rPr>
          <w:sz w:val="28"/>
          <w:szCs w:val="28"/>
        </w:rPr>
        <w:t>Чаа</w:t>
      </w:r>
      <w:proofErr w:type="spellEnd"/>
      <w:r w:rsidR="006051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60512B" w:rsidRPr="0060512B">
        <w:rPr>
          <w:sz w:val="28"/>
          <w:szCs w:val="28"/>
        </w:rPr>
        <w:t>орук</w:t>
      </w:r>
      <w:proofErr w:type="spellEnd"/>
      <w:r w:rsidR="008B738A">
        <w:rPr>
          <w:sz w:val="28"/>
          <w:szCs w:val="28"/>
        </w:rPr>
        <w:t xml:space="preserve"> (Новая жизнь)</w:t>
      </w:r>
      <w:r w:rsidR="0060512B" w:rsidRPr="0060512B">
        <w:rPr>
          <w:sz w:val="28"/>
          <w:szCs w:val="28"/>
        </w:rPr>
        <w:t>»;</w:t>
      </w:r>
    </w:p>
    <w:p w:rsidR="0060512B" w:rsidRPr="0060512B" w:rsidRDefault="000B14F8" w:rsidP="00323FDE">
      <w:pPr>
        <w:pStyle w:val="a5"/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512B" w:rsidRPr="0060512B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60512B" w:rsidRPr="0060512B">
        <w:rPr>
          <w:sz w:val="28"/>
          <w:szCs w:val="28"/>
        </w:rPr>
        <w:t xml:space="preserve"> губернаторского проекта «</w:t>
      </w:r>
      <w:proofErr w:type="spellStart"/>
      <w:r w:rsidR="0060512B" w:rsidRPr="0060512B">
        <w:rPr>
          <w:sz w:val="28"/>
          <w:szCs w:val="28"/>
        </w:rPr>
        <w:t>Дук</w:t>
      </w:r>
      <w:proofErr w:type="spellEnd"/>
      <w:r w:rsidR="0060512B" w:rsidRPr="0060512B">
        <w:rPr>
          <w:sz w:val="28"/>
          <w:szCs w:val="28"/>
        </w:rPr>
        <w:t>»;</w:t>
      </w:r>
    </w:p>
    <w:p w:rsidR="0060512B" w:rsidRDefault="000B14F8" w:rsidP="00323FDE">
      <w:pPr>
        <w:pStyle w:val="a5"/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0512B" w:rsidRPr="0060512B">
        <w:rPr>
          <w:sz w:val="28"/>
          <w:szCs w:val="28"/>
        </w:rPr>
        <w:t>развитие мелиорации земель с</w:t>
      </w:r>
      <w:r w:rsidR="00323FDE">
        <w:rPr>
          <w:sz w:val="28"/>
          <w:szCs w:val="28"/>
        </w:rPr>
        <w:t>ельскохозяйственного назначения;</w:t>
      </w:r>
    </w:p>
    <w:p w:rsidR="00323FDE" w:rsidRDefault="00323FDE" w:rsidP="00323FD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B753EA">
        <w:rPr>
          <w:sz w:val="28"/>
          <w:szCs w:val="28"/>
        </w:rPr>
        <w:t xml:space="preserve">троительство </w:t>
      </w:r>
      <w:proofErr w:type="spellStart"/>
      <w:r w:rsidRPr="00B753EA">
        <w:rPr>
          <w:sz w:val="28"/>
          <w:szCs w:val="28"/>
        </w:rPr>
        <w:t>зернотоков</w:t>
      </w:r>
      <w:proofErr w:type="spellEnd"/>
      <w:r w:rsidRPr="00B753EA">
        <w:rPr>
          <w:sz w:val="28"/>
          <w:szCs w:val="28"/>
        </w:rPr>
        <w:t xml:space="preserve"> в </w:t>
      </w:r>
      <w:proofErr w:type="spellStart"/>
      <w:r w:rsidRPr="00B753EA">
        <w:rPr>
          <w:sz w:val="28"/>
          <w:szCs w:val="28"/>
        </w:rPr>
        <w:t>Тандинском</w:t>
      </w:r>
      <w:proofErr w:type="spellEnd"/>
      <w:r w:rsidRPr="00B753EA">
        <w:rPr>
          <w:sz w:val="28"/>
          <w:szCs w:val="28"/>
        </w:rPr>
        <w:t xml:space="preserve"> и </w:t>
      </w:r>
      <w:proofErr w:type="spellStart"/>
      <w:r w:rsidRPr="00B753EA">
        <w:rPr>
          <w:sz w:val="28"/>
          <w:szCs w:val="28"/>
        </w:rPr>
        <w:t>Чаа-Хольском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753EA">
        <w:rPr>
          <w:sz w:val="28"/>
          <w:szCs w:val="28"/>
        </w:rPr>
        <w:t>кожуунах</w:t>
      </w:r>
      <w:proofErr w:type="spellEnd"/>
      <w:r>
        <w:rPr>
          <w:sz w:val="28"/>
          <w:szCs w:val="28"/>
        </w:rPr>
        <w:t>;</w:t>
      </w:r>
    </w:p>
    <w:p w:rsidR="00323FDE" w:rsidRPr="0076435F" w:rsidRDefault="00323FDE" w:rsidP="00323FDE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утверждение концепции создания туристического</w:t>
      </w:r>
      <w:r w:rsidRPr="0076435F">
        <w:rPr>
          <w:sz w:val="28"/>
          <w:szCs w:val="28"/>
        </w:rPr>
        <w:t xml:space="preserve"> комплекса «Марал </w:t>
      </w:r>
      <w:r>
        <w:rPr>
          <w:sz w:val="28"/>
          <w:szCs w:val="28"/>
        </w:rPr>
        <w:t>–</w:t>
      </w:r>
      <w:r w:rsidRPr="0076435F">
        <w:rPr>
          <w:sz w:val="28"/>
          <w:szCs w:val="28"/>
        </w:rPr>
        <w:t xml:space="preserve"> Т</w:t>
      </w:r>
      <w:r w:rsidRPr="0076435F">
        <w:rPr>
          <w:sz w:val="28"/>
          <w:szCs w:val="28"/>
        </w:rPr>
        <w:t>у</w:t>
      </w:r>
      <w:r w:rsidRPr="0076435F">
        <w:rPr>
          <w:sz w:val="28"/>
          <w:szCs w:val="28"/>
        </w:rPr>
        <w:t>ва»</w:t>
      </w:r>
      <w:r>
        <w:rPr>
          <w:sz w:val="28"/>
          <w:szCs w:val="28"/>
        </w:rPr>
        <w:t>.</w:t>
      </w:r>
    </w:p>
    <w:p w:rsidR="0060512B" w:rsidRPr="0060512B" w:rsidRDefault="0060512B" w:rsidP="00323FDE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60512B">
        <w:rPr>
          <w:sz w:val="28"/>
          <w:szCs w:val="28"/>
        </w:rPr>
        <w:t>3. Утвердить прилагаемый план мероприятий по реализации приоритетных направлений деятельности Министерства сельского хозяйства и продовольствия Республики Тыва на 2020 год.</w:t>
      </w:r>
    </w:p>
    <w:p w:rsidR="0060512B" w:rsidRPr="0060512B" w:rsidRDefault="0060512B" w:rsidP="0060512B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60512B">
        <w:rPr>
          <w:sz w:val="28"/>
          <w:szCs w:val="28"/>
        </w:rPr>
        <w:lastRenderedPageBreak/>
        <w:t>4. Признать утратившим силу постановление Правительства Республики Тыва от 25 сентября 2017 г. № 428 «Об итогах деятельности Министерства сельского х</w:t>
      </w:r>
      <w:r w:rsidRPr="0060512B">
        <w:rPr>
          <w:sz w:val="28"/>
          <w:szCs w:val="28"/>
        </w:rPr>
        <w:t>о</w:t>
      </w:r>
      <w:r w:rsidRPr="0060512B">
        <w:rPr>
          <w:sz w:val="28"/>
          <w:szCs w:val="28"/>
        </w:rPr>
        <w:t>зяйства и продовольствия Республики Тыва за 2016 год и о приоритетном направл</w:t>
      </w:r>
      <w:r w:rsidRPr="0060512B">
        <w:rPr>
          <w:sz w:val="28"/>
          <w:szCs w:val="28"/>
        </w:rPr>
        <w:t>е</w:t>
      </w:r>
      <w:r w:rsidRPr="0060512B">
        <w:rPr>
          <w:sz w:val="28"/>
          <w:szCs w:val="28"/>
        </w:rPr>
        <w:t>нии деятельности на 2017-2018 годы».</w:t>
      </w:r>
    </w:p>
    <w:p w:rsidR="0060512B" w:rsidRPr="0060512B" w:rsidRDefault="0060512B" w:rsidP="0060512B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60512B">
        <w:rPr>
          <w:sz w:val="28"/>
          <w:szCs w:val="28"/>
        </w:rPr>
        <w:t xml:space="preserve">5. </w:t>
      </w:r>
      <w:proofErr w:type="gramStart"/>
      <w:r w:rsidRPr="0060512B">
        <w:rPr>
          <w:sz w:val="28"/>
          <w:szCs w:val="28"/>
        </w:rPr>
        <w:t>Разместить</w:t>
      </w:r>
      <w:proofErr w:type="gramEnd"/>
      <w:r w:rsidRPr="0060512B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60512B">
        <w:rPr>
          <w:sz w:val="28"/>
          <w:szCs w:val="28"/>
          <w:lang w:val="en-US"/>
        </w:rPr>
        <w:t>www</w:t>
      </w:r>
      <w:r w:rsidRPr="0060512B">
        <w:rPr>
          <w:sz w:val="28"/>
          <w:szCs w:val="28"/>
        </w:rPr>
        <w:t>.</w:t>
      </w:r>
      <w:proofErr w:type="spellStart"/>
      <w:r w:rsidRPr="0060512B">
        <w:rPr>
          <w:sz w:val="28"/>
          <w:szCs w:val="28"/>
          <w:lang w:val="en-US"/>
        </w:rPr>
        <w:t>pravo</w:t>
      </w:r>
      <w:proofErr w:type="spellEnd"/>
      <w:r w:rsidRPr="0060512B">
        <w:rPr>
          <w:sz w:val="28"/>
          <w:szCs w:val="28"/>
        </w:rPr>
        <w:t>.</w:t>
      </w:r>
      <w:proofErr w:type="spellStart"/>
      <w:r w:rsidRPr="0060512B">
        <w:rPr>
          <w:sz w:val="28"/>
          <w:szCs w:val="28"/>
          <w:lang w:val="en-US"/>
        </w:rPr>
        <w:t>gov</w:t>
      </w:r>
      <w:proofErr w:type="spellEnd"/>
      <w:r w:rsidRPr="0060512B">
        <w:rPr>
          <w:sz w:val="28"/>
          <w:szCs w:val="28"/>
        </w:rPr>
        <w:t>.</w:t>
      </w:r>
      <w:proofErr w:type="spellStart"/>
      <w:r w:rsidRPr="0060512B">
        <w:rPr>
          <w:sz w:val="28"/>
          <w:szCs w:val="28"/>
          <w:lang w:val="en-US"/>
        </w:rPr>
        <w:t>ru</w:t>
      </w:r>
      <w:proofErr w:type="spellEnd"/>
      <w:r w:rsidRPr="0060512B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0512B" w:rsidRDefault="0060512B" w:rsidP="0060512B">
      <w:pPr>
        <w:rPr>
          <w:sz w:val="28"/>
          <w:szCs w:val="28"/>
        </w:rPr>
      </w:pPr>
    </w:p>
    <w:p w:rsidR="0060512B" w:rsidRDefault="0060512B" w:rsidP="0060512B">
      <w:pPr>
        <w:rPr>
          <w:sz w:val="28"/>
          <w:szCs w:val="28"/>
        </w:rPr>
      </w:pPr>
    </w:p>
    <w:p w:rsidR="0060512B" w:rsidRDefault="0060512B" w:rsidP="0060512B">
      <w:pPr>
        <w:rPr>
          <w:sz w:val="28"/>
          <w:szCs w:val="28"/>
        </w:rPr>
      </w:pPr>
    </w:p>
    <w:p w:rsidR="00323FDE" w:rsidRDefault="00323FDE" w:rsidP="0060512B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60512B" w:rsidRDefault="00323FDE" w:rsidP="0060512B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60512B">
        <w:rPr>
          <w:sz w:val="28"/>
          <w:szCs w:val="28"/>
        </w:rPr>
        <w:t xml:space="preserve"> Республики Тыва</w:t>
      </w:r>
      <w:r w:rsidR="0060512B">
        <w:rPr>
          <w:sz w:val="28"/>
          <w:szCs w:val="28"/>
        </w:rPr>
        <w:tab/>
      </w:r>
      <w:r w:rsidR="0060512B">
        <w:rPr>
          <w:sz w:val="28"/>
          <w:szCs w:val="28"/>
        </w:rPr>
        <w:tab/>
      </w:r>
      <w:r w:rsidR="0060512B">
        <w:rPr>
          <w:sz w:val="28"/>
          <w:szCs w:val="28"/>
        </w:rPr>
        <w:tab/>
      </w:r>
      <w:r w:rsidR="0060512B">
        <w:rPr>
          <w:sz w:val="28"/>
          <w:szCs w:val="28"/>
        </w:rPr>
        <w:tab/>
      </w:r>
      <w:r w:rsidR="0060512B">
        <w:rPr>
          <w:sz w:val="28"/>
          <w:szCs w:val="28"/>
        </w:rPr>
        <w:tab/>
      </w:r>
      <w:r w:rsidR="0060512B">
        <w:rPr>
          <w:sz w:val="28"/>
          <w:szCs w:val="28"/>
        </w:rPr>
        <w:tab/>
      </w:r>
      <w:r w:rsidR="0060512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  <w:r>
        <w:rPr>
          <w:sz w:val="28"/>
          <w:szCs w:val="28"/>
        </w:rPr>
        <w:t xml:space="preserve"> </w:t>
      </w:r>
    </w:p>
    <w:p w:rsidR="0060512B" w:rsidRDefault="0060512B" w:rsidP="0060512B">
      <w:pPr>
        <w:rPr>
          <w:sz w:val="28"/>
          <w:szCs w:val="28"/>
        </w:rPr>
      </w:pPr>
    </w:p>
    <w:p w:rsidR="0060512B" w:rsidRDefault="0060512B" w:rsidP="0060512B">
      <w:pPr>
        <w:rPr>
          <w:sz w:val="28"/>
          <w:szCs w:val="28"/>
        </w:rPr>
      </w:pPr>
    </w:p>
    <w:p w:rsidR="0060512B" w:rsidRDefault="0060512B" w:rsidP="0060512B">
      <w:pPr>
        <w:rPr>
          <w:sz w:val="28"/>
          <w:szCs w:val="28"/>
        </w:rPr>
        <w:sectPr w:rsidR="0060512B" w:rsidSect="006051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512B" w:rsidRPr="0060512B" w:rsidRDefault="0060512B" w:rsidP="0060512B">
      <w:pPr>
        <w:ind w:left="10206"/>
        <w:jc w:val="center"/>
        <w:rPr>
          <w:sz w:val="28"/>
          <w:szCs w:val="28"/>
        </w:rPr>
      </w:pPr>
      <w:r w:rsidRPr="0060512B">
        <w:rPr>
          <w:sz w:val="28"/>
          <w:szCs w:val="28"/>
        </w:rPr>
        <w:lastRenderedPageBreak/>
        <w:t>Утвержден</w:t>
      </w:r>
    </w:p>
    <w:p w:rsidR="0060512B" w:rsidRPr="0060512B" w:rsidRDefault="0060512B" w:rsidP="0060512B">
      <w:pPr>
        <w:ind w:left="10206"/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постановлением Правительства</w:t>
      </w:r>
    </w:p>
    <w:p w:rsidR="0060512B" w:rsidRDefault="0060512B" w:rsidP="0060512B">
      <w:pPr>
        <w:ind w:left="10206"/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Республики Тыва</w:t>
      </w:r>
    </w:p>
    <w:p w:rsidR="0060512B" w:rsidRPr="0060512B" w:rsidRDefault="005A0DD7" w:rsidP="005A0DD7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6 апреля 2020 г. № 131</w:t>
      </w:r>
    </w:p>
    <w:p w:rsidR="0060512B" w:rsidRPr="0060512B" w:rsidRDefault="0060512B" w:rsidP="0060512B">
      <w:pPr>
        <w:jc w:val="center"/>
        <w:rPr>
          <w:sz w:val="28"/>
          <w:szCs w:val="28"/>
        </w:rPr>
      </w:pPr>
    </w:p>
    <w:p w:rsidR="0060512B" w:rsidRPr="0060512B" w:rsidRDefault="0060512B" w:rsidP="0060512B">
      <w:pPr>
        <w:jc w:val="center"/>
        <w:rPr>
          <w:b/>
          <w:sz w:val="28"/>
          <w:szCs w:val="28"/>
        </w:rPr>
      </w:pPr>
      <w:r w:rsidRPr="0060512B">
        <w:rPr>
          <w:b/>
          <w:sz w:val="28"/>
          <w:szCs w:val="28"/>
        </w:rPr>
        <w:t>ПЛАН МЕРОПРИЯТИЙ</w:t>
      </w:r>
    </w:p>
    <w:p w:rsidR="0060512B" w:rsidRDefault="0060512B" w:rsidP="0060512B">
      <w:pPr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по реализации приоритетных направлений деятельности</w:t>
      </w:r>
      <w:r>
        <w:rPr>
          <w:sz w:val="28"/>
          <w:szCs w:val="28"/>
        </w:rPr>
        <w:t xml:space="preserve"> </w:t>
      </w:r>
      <w:r w:rsidRPr="0060512B">
        <w:rPr>
          <w:sz w:val="28"/>
          <w:szCs w:val="28"/>
        </w:rPr>
        <w:t xml:space="preserve">Министерства </w:t>
      </w:r>
    </w:p>
    <w:p w:rsidR="0060512B" w:rsidRPr="0060512B" w:rsidRDefault="0060512B" w:rsidP="0060512B">
      <w:pPr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сельского хозяйства и продовольствия Республики Тыва</w:t>
      </w:r>
      <w:r>
        <w:rPr>
          <w:sz w:val="28"/>
          <w:szCs w:val="28"/>
        </w:rPr>
        <w:t xml:space="preserve"> </w:t>
      </w:r>
      <w:r w:rsidRPr="0060512B">
        <w:rPr>
          <w:sz w:val="28"/>
          <w:szCs w:val="28"/>
        </w:rPr>
        <w:t>на 2020 год</w:t>
      </w:r>
    </w:p>
    <w:p w:rsidR="0060512B" w:rsidRPr="0060512B" w:rsidRDefault="0060512B" w:rsidP="0060512B">
      <w:pPr>
        <w:jc w:val="center"/>
        <w:rPr>
          <w:sz w:val="28"/>
          <w:szCs w:val="28"/>
        </w:rPr>
      </w:pPr>
    </w:p>
    <w:tbl>
      <w:tblPr>
        <w:tblStyle w:val="a4"/>
        <w:tblW w:w="15963" w:type="dxa"/>
        <w:jc w:val="center"/>
        <w:tblInd w:w="-34" w:type="dxa"/>
        <w:tblLook w:val="04A0"/>
      </w:tblPr>
      <w:tblGrid>
        <w:gridCol w:w="4395"/>
        <w:gridCol w:w="1579"/>
        <w:gridCol w:w="5922"/>
        <w:gridCol w:w="4067"/>
      </w:tblGrid>
      <w:tr w:rsidR="0060512B" w:rsidRPr="0060512B" w:rsidTr="00323FDE">
        <w:trPr>
          <w:jc w:val="center"/>
        </w:trPr>
        <w:tc>
          <w:tcPr>
            <w:tcW w:w="4395" w:type="dxa"/>
          </w:tcPr>
          <w:p w:rsidR="0060512B" w:rsidRPr="0060512B" w:rsidRDefault="0060512B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</w:tcPr>
          <w:p w:rsidR="0060512B" w:rsidRDefault="0060512B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0512B" w:rsidRPr="0060512B" w:rsidRDefault="0060512B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22" w:type="dxa"/>
          </w:tcPr>
          <w:p w:rsidR="0060512B" w:rsidRPr="0060512B" w:rsidRDefault="0060512B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067" w:type="dxa"/>
          </w:tcPr>
          <w:p w:rsidR="0060512B" w:rsidRPr="0060512B" w:rsidRDefault="0060512B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0512B" w:rsidRPr="0060512B" w:rsidTr="0060512B">
        <w:trPr>
          <w:jc w:val="center"/>
        </w:trPr>
        <w:tc>
          <w:tcPr>
            <w:tcW w:w="15963" w:type="dxa"/>
            <w:gridSpan w:val="4"/>
          </w:tcPr>
          <w:p w:rsidR="0060512B" w:rsidRPr="0060512B" w:rsidRDefault="0060512B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губернаторского проекта </w:t>
            </w:r>
            <w:r w:rsidR="008B738A" w:rsidRPr="00605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738A" w:rsidRPr="0060512B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8B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38A" w:rsidRPr="0060512B">
              <w:rPr>
                <w:rFonts w:ascii="Times New Roman" w:hAnsi="Times New Roman" w:cs="Times New Roman"/>
                <w:sz w:val="24"/>
                <w:szCs w:val="24"/>
              </w:rPr>
              <w:t>орук</w:t>
            </w:r>
            <w:proofErr w:type="spellEnd"/>
            <w:r w:rsidR="008B7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38A" w:rsidRPr="0060512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B738A">
              <w:rPr>
                <w:rFonts w:ascii="Times New Roman" w:hAnsi="Times New Roman" w:cs="Times New Roman"/>
                <w:sz w:val="24"/>
                <w:szCs w:val="24"/>
              </w:rPr>
              <w:t>вая жизнь)»</w:t>
            </w:r>
          </w:p>
        </w:tc>
      </w:tr>
      <w:tr w:rsidR="0060512B" w:rsidRPr="0060512B" w:rsidTr="000B14F8">
        <w:trPr>
          <w:jc w:val="center"/>
        </w:trPr>
        <w:tc>
          <w:tcPr>
            <w:tcW w:w="4395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паспорта, плана мероприятий 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«дорожной карты»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губернаторского проекта «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0B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38A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(Новая жизнь)</w:t>
            </w:r>
            <w:r w:rsidRPr="006051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9" w:type="dxa"/>
          </w:tcPr>
          <w:p w:rsidR="0060512B" w:rsidRPr="0060512B" w:rsidRDefault="0060512B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22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Министерство общественной без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пасности Республики Тыва, Министерство труда и 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Республики Тыва</w:t>
            </w:r>
          </w:p>
        </w:tc>
        <w:tc>
          <w:tcPr>
            <w:tcW w:w="4067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пределение механизма реализации проекта, источников финансирования, ответственных исполнителей</w:t>
            </w:r>
          </w:p>
        </w:tc>
      </w:tr>
      <w:tr w:rsidR="0060512B" w:rsidRPr="0060512B" w:rsidTr="000B14F8">
        <w:trPr>
          <w:jc w:val="center"/>
        </w:trPr>
        <w:tc>
          <w:tcPr>
            <w:tcW w:w="4395" w:type="dxa"/>
          </w:tcPr>
          <w:p w:rsidR="0060512B" w:rsidRPr="0060512B" w:rsidRDefault="0060512B" w:rsidP="008B738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внесение на рассмотр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B738A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8B738A"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8B738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Республики Тыва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 губернаторском проекте «</w:t>
            </w:r>
            <w:proofErr w:type="spellStart"/>
            <w:r w:rsidR="000B14F8" w:rsidRPr="0060512B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0B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4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4F8" w:rsidRPr="0060512B">
              <w:rPr>
                <w:rFonts w:ascii="Times New Roman" w:hAnsi="Times New Roman" w:cs="Times New Roman"/>
                <w:sz w:val="24"/>
                <w:szCs w:val="24"/>
              </w:rPr>
              <w:t>орук</w:t>
            </w:r>
            <w:proofErr w:type="spellEnd"/>
            <w:r w:rsidR="008B7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B738A">
              <w:rPr>
                <w:rFonts w:ascii="Times New Roman" w:hAnsi="Times New Roman" w:cs="Times New Roman"/>
                <w:sz w:val="24"/>
                <w:szCs w:val="24"/>
              </w:rPr>
              <w:t>вая жизнь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7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60512B" w:rsidRPr="0060512B" w:rsidRDefault="0060512B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22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067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 xml:space="preserve">работка нормативной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базы для реализации проекта с указ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нием основных условий для участия в проекте и критериев отбора участн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ков проекта</w:t>
            </w:r>
          </w:p>
        </w:tc>
      </w:tr>
      <w:tr w:rsidR="003D4B5A" w:rsidRPr="0060512B" w:rsidTr="00323FDE">
        <w:trPr>
          <w:trHeight w:val="3036"/>
          <w:jc w:val="center"/>
        </w:trPr>
        <w:tc>
          <w:tcPr>
            <w:tcW w:w="4395" w:type="dxa"/>
          </w:tcPr>
          <w:p w:rsidR="003D4B5A" w:rsidRPr="0060512B" w:rsidRDefault="003D4B5A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Отбор участников проекта</w:t>
            </w:r>
          </w:p>
        </w:tc>
        <w:tc>
          <w:tcPr>
            <w:tcW w:w="1579" w:type="dxa"/>
          </w:tcPr>
          <w:p w:rsidR="003D4B5A" w:rsidRPr="0060512B" w:rsidRDefault="00323FDE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22" w:type="dxa"/>
          </w:tcPr>
          <w:p w:rsidR="003D4B5A" w:rsidRPr="0060512B" w:rsidRDefault="003D4B5A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Республики Тыва, депутаты Верховного Хурала (парламента) Ре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согласованию), председатели адм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нистраций сельских поселений (по согласованию), 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отцов сельских поселений (по согласованию), 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женщин сельских поселений (по согласованию), представители-мужчины из числа преподавателей образовательных учреждений </w:t>
            </w:r>
          </w:p>
          <w:p w:rsidR="003D4B5A" w:rsidRPr="0060512B" w:rsidRDefault="003D4B5A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(по согласованию), представители духовенства (по 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ТРОО «Боевое братство» (по согласов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067" w:type="dxa"/>
          </w:tcPr>
          <w:p w:rsidR="003D4B5A" w:rsidRPr="0060512B" w:rsidRDefault="003D4B5A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ормирование списков участников проекта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их протокол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 сельской и муниципальной коми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сий, направление пакетов документов в межведомственную комиссию Ре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публики Тыва для утверждения сво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ного списка 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105 гра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</w:tr>
    </w:tbl>
    <w:p w:rsidR="003D4B5A" w:rsidRDefault="003D4B5A"/>
    <w:tbl>
      <w:tblPr>
        <w:tblStyle w:val="a4"/>
        <w:tblW w:w="15963" w:type="dxa"/>
        <w:tblInd w:w="-34" w:type="dxa"/>
        <w:tblLook w:val="04A0"/>
      </w:tblPr>
      <w:tblGrid>
        <w:gridCol w:w="4395"/>
        <w:gridCol w:w="1579"/>
        <w:gridCol w:w="5910"/>
        <w:gridCol w:w="12"/>
        <w:gridCol w:w="4067"/>
      </w:tblGrid>
      <w:tr w:rsidR="003D4B5A" w:rsidRPr="0060512B" w:rsidTr="00323FDE">
        <w:tc>
          <w:tcPr>
            <w:tcW w:w="4395" w:type="dxa"/>
          </w:tcPr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79" w:type="dxa"/>
          </w:tcPr>
          <w:p w:rsidR="003D4B5A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22" w:type="dxa"/>
            <w:gridSpan w:val="2"/>
          </w:tcPr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067" w:type="dxa"/>
          </w:tcPr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0512B" w:rsidRPr="0060512B" w:rsidTr="003D4B5A">
        <w:tblPrEx>
          <w:jc w:val="center"/>
        </w:tblPrEx>
        <w:trPr>
          <w:trHeight w:val="1434"/>
          <w:jc w:val="center"/>
        </w:trPr>
        <w:tc>
          <w:tcPr>
            <w:tcW w:w="4395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кураторов из числа Совета мужчин (Совета отцов) сельского населенного пункта для по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держки участник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их желании начать новую жизнь</w:t>
            </w:r>
          </w:p>
        </w:tc>
        <w:tc>
          <w:tcPr>
            <w:tcW w:w="1579" w:type="dxa"/>
          </w:tcPr>
          <w:p w:rsidR="0060512B" w:rsidRPr="0060512B" w:rsidRDefault="00323FDE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512B" w:rsidRPr="0060512B" w:rsidRDefault="0060512B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редседатель Совета мужчин (Совета отцов) сельского поселения (по согласованию), представители-мужчины из числа преподавателей образовательных учреждений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067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поддержки участникам пр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назначение для каждого учас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ника ответственных (авторитетны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) кураторов из общественных орган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заций 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отвод лесных участков для заготовки древесины участникам проекта по картографическим и лесоустроител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материалам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r w:rsidR="00323FD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  <w:gridSpan w:val="2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природных ресурсов и экологии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067" w:type="dxa"/>
          </w:tcPr>
          <w:p w:rsidR="0060512B" w:rsidRPr="0060512B" w:rsidRDefault="000B14F8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512B" w:rsidRPr="0060512B">
              <w:rPr>
                <w:rFonts w:ascii="Times New Roman" w:hAnsi="Times New Roman" w:cs="Times New Roman"/>
                <w:sz w:val="24"/>
                <w:szCs w:val="24"/>
              </w:rPr>
              <w:t>аготовка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12B" w:rsidRPr="0060512B">
              <w:rPr>
                <w:rFonts w:ascii="Times New Roman" w:hAnsi="Times New Roman" w:cs="Times New Roman"/>
                <w:sz w:val="24"/>
                <w:szCs w:val="24"/>
              </w:rPr>
              <w:t>300 куб. древесины каждым участником, строительство кошар и жилых домов</w:t>
            </w:r>
          </w:p>
        </w:tc>
      </w:tr>
      <w:bookmarkEnd w:id="0"/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сел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скохозяйственного назначения муниц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 образованиями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</w:p>
        </w:tc>
        <w:tc>
          <w:tcPr>
            <w:tcW w:w="5922" w:type="dxa"/>
            <w:gridSpan w:val="2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администрации муниципальных о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(по согласованию)</w:t>
            </w:r>
          </w:p>
        </w:tc>
        <w:tc>
          <w:tcPr>
            <w:tcW w:w="4067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и постановка на госуда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кадастровый учет земел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 из земель сельскохозя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назначения в зоне тран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 доступности и мобильной связи для последующей передачи уч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 проекта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животноводческих стоянок (помещений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скота, жилых помещений и хозяйстве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построек)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23FD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  <w:gridSpan w:val="2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Республики Тыва,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Республики Тыва</w:t>
            </w:r>
            <w:r w:rsidR="000B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проекта (по согл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067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 жилого дома и пом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для скота хозяйственным сп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собом за счет собственных сил, со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105 личных подсобных х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скота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участников проекта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до 1 ию</w:t>
            </w:r>
            <w:r w:rsidR="00323F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5922" w:type="dxa"/>
            <w:gridSpan w:val="2"/>
          </w:tcPr>
          <w:p w:rsidR="0060512B" w:rsidRPr="0060512B" w:rsidRDefault="0060512B" w:rsidP="000B14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ГБУ «Республиканский центр вет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ринарии»,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  <w:tc>
          <w:tcPr>
            <w:tcW w:w="4067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одписание актов приема-передачи скота в количестве 14000 голов МРС </w:t>
            </w:r>
            <w:r w:rsidR="000B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участников, 700 голов КРС </w:t>
            </w:r>
            <w:r w:rsidR="000B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участников</w:t>
            </w:r>
          </w:p>
        </w:tc>
      </w:tr>
      <w:tr w:rsidR="0060512B" w:rsidRPr="0060512B" w:rsidTr="0060512B">
        <w:tblPrEx>
          <w:jc w:val="center"/>
        </w:tblPrEx>
        <w:trPr>
          <w:jc w:val="center"/>
        </w:trPr>
        <w:tc>
          <w:tcPr>
            <w:tcW w:w="15963" w:type="dxa"/>
            <w:gridSpan w:val="5"/>
          </w:tcPr>
          <w:p w:rsidR="0060512B" w:rsidRPr="0060512B" w:rsidRDefault="0060512B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Реализация губернаторского проекта «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 ввод в эксплуатацию двух цехов по глубокой переработке шерсти в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Эрзинском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жуунах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323FDE" w:rsidRDefault="0060512B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  <w:r w:rsidR="00323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23FDE" w:rsidRDefault="00323FDE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  <w:p w:rsidR="0060512B" w:rsidRPr="0060512B" w:rsidRDefault="0060512B" w:rsidP="000B14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Республики Тыва, администрации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ИП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А.А. (по согласованию), СППК «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Уургай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» (по соглас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079" w:type="dxa"/>
            <w:gridSpan w:val="2"/>
          </w:tcPr>
          <w:p w:rsidR="0060512B" w:rsidRPr="0060512B" w:rsidRDefault="0060512B" w:rsidP="000B14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ведение 2 цехов по глубокой перер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ботке шерсти с суммарной мощн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стью 104 тонн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в год, создание 15 рабочих мест при выходе на проек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ную мощность</w:t>
            </w:r>
          </w:p>
        </w:tc>
      </w:tr>
    </w:tbl>
    <w:p w:rsidR="003D4B5A" w:rsidRDefault="003D4B5A"/>
    <w:tbl>
      <w:tblPr>
        <w:tblStyle w:val="a4"/>
        <w:tblW w:w="15963" w:type="dxa"/>
        <w:tblInd w:w="-34" w:type="dxa"/>
        <w:tblLook w:val="04A0"/>
      </w:tblPr>
      <w:tblGrid>
        <w:gridCol w:w="4395"/>
        <w:gridCol w:w="1579"/>
        <w:gridCol w:w="5922"/>
        <w:gridCol w:w="12"/>
        <w:gridCol w:w="4055"/>
      </w:tblGrid>
      <w:tr w:rsidR="003D4B5A" w:rsidRPr="0060512B" w:rsidTr="00323FDE">
        <w:tc>
          <w:tcPr>
            <w:tcW w:w="4395" w:type="dxa"/>
          </w:tcPr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79" w:type="dxa"/>
          </w:tcPr>
          <w:p w:rsidR="003D4B5A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34" w:type="dxa"/>
            <w:gridSpan w:val="2"/>
          </w:tcPr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055" w:type="dxa"/>
          </w:tcPr>
          <w:p w:rsidR="003D4B5A" w:rsidRPr="0060512B" w:rsidRDefault="003D4B5A" w:rsidP="00323F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паспорта губернато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ского проекта «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 w:rsidRPr="006051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о 15 марта </w:t>
            </w:r>
          </w:p>
        </w:tc>
        <w:tc>
          <w:tcPr>
            <w:tcW w:w="5922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067" w:type="dxa"/>
            <w:gridSpan w:val="2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ополнение паспорта проекта мер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приятиями по реализации </w:t>
            </w:r>
            <w:r w:rsidRPr="0060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фабрики шерстяных нетканых изделий в </w:t>
            </w:r>
            <w:proofErr w:type="gram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. Кызыле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механизма реализации </w:t>
            </w:r>
            <w:r w:rsidRPr="0060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па проекта, источников финансиров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ния, ответственных исполнителей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Отведение земельного участка под строительство фабрики шерстяных н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тканых изделий в </w:t>
            </w:r>
            <w:proofErr w:type="gram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. Кызыле 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</w:t>
            </w:r>
          </w:p>
        </w:tc>
        <w:tc>
          <w:tcPr>
            <w:tcW w:w="5922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</w:t>
            </w:r>
          </w:p>
        </w:tc>
        <w:tc>
          <w:tcPr>
            <w:tcW w:w="4067" w:type="dxa"/>
            <w:gridSpan w:val="2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пределение и отведение земельного участка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технико-экономического обоснования строительства фабрики 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</w:tc>
        <w:tc>
          <w:tcPr>
            <w:tcW w:w="5922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«Инновационный центр развития текстильной и легкой промышленности» г. Москва (по согласованию)</w:t>
            </w:r>
          </w:p>
        </w:tc>
        <w:tc>
          <w:tcPr>
            <w:tcW w:w="4067" w:type="dxa"/>
            <w:gridSpan w:val="2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технико-экономического обоснования строительства фабрики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ментации 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фабрики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323FD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ГКУ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», проектная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(по согласованию),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067" w:type="dxa"/>
            <w:gridSpan w:val="2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государственной экспе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инвестора для стро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и освоения мощностей фабрики</w:t>
            </w:r>
          </w:p>
        </w:tc>
        <w:tc>
          <w:tcPr>
            <w:tcW w:w="1579" w:type="dxa"/>
          </w:tcPr>
          <w:p w:rsidR="0060512B" w:rsidRPr="0060512B" w:rsidRDefault="0060512B" w:rsidP="003D4B5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0512B" w:rsidRPr="0060512B" w:rsidRDefault="00BA24D1" w:rsidP="003D4B5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922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Министерство экономики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B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Агентство по привлечению и </w:t>
            </w:r>
            <w:r w:rsidR="000B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защите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вестиций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067" w:type="dxa"/>
            <w:gridSpan w:val="2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аключение соглашения о государс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венно-частном сотрудничестве с и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05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вестором</w:t>
            </w:r>
          </w:p>
        </w:tc>
      </w:tr>
      <w:tr w:rsidR="0060512B" w:rsidRPr="0060512B" w:rsidTr="0060512B">
        <w:tblPrEx>
          <w:jc w:val="center"/>
        </w:tblPrEx>
        <w:trPr>
          <w:jc w:val="center"/>
        </w:trPr>
        <w:tc>
          <w:tcPr>
            <w:tcW w:w="15963" w:type="dxa"/>
            <w:gridSpan w:val="5"/>
          </w:tcPr>
          <w:p w:rsidR="0060512B" w:rsidRPr="0060512B" w:rsidRDefault="0060512B" w:rsidP="003D4B5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назначения</w:t>
            </w:r>
          </w:p>
        </w:tc>
      </w:tr>
      <w:tr w:rsidR="0060512B" w:rsidRPr="0060512B" w:rsidTr="003D4B5A">
        <w:tblPrEx>
          <w:jc w:val="center"/>
        </w:tblPrEx>
        <w:trPr>
          <w:jc w:val="center"/>
        </w:trPr>
        <w:tc>
          <w:tcPr>
            <w:tcW w:w="4395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Закрепление мелиоративных систем за эффективными пользователями</w:t>
            </w:r>
          </w:p>
        </w:tc>
        <w:tc>
          <w:tcPr>
            <w:tcW w:w="1579" w:type="dxa"/>
          </w:tcPr>
          <w:p w:rsidR="0060512B" w:rsidRPr="0060512B" w:rsidRDefault="0060512B" w:rsidP="00BA2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</w:p>
        </w:tc>
        <w:tc>
          <w:tcPr>
            <w:tcW w:w="5922" w:type="dxa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согл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067" w:type="dxa"/>
            <w:gridSpan w:val="2"/>
          </w:tcPr>
          <w:p w:rsidR="0060512B" w:rsidRPr="0060512B" w:rsidRDefault="0060512B" w:rsidP="003D4B5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мелиор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тивных систем, обеспечен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сировани</w:t>
            </w:r>
            <w:r w:rsidR="000B14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реконструкции мелиоративных систем в размере не 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стоим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12B">
              <w:rPr>
                <w:rFonts w:ascii="Times New Roman" w:hAnsi="Times New Roman" w:cs="Times New Roman"/>
                <w:sz w:val="24"/>
                <w:szCs w:val="24"/>
              </w:rPr>
              <w:t>сти работ</w:t>
            </w:r>
          </w:p>
        </w:tc>
      </w:tr>
    </w:tbl>
    <w:p w:rsidR="003D4B5A" w:rsidRDefault="003D4B5A"/>
    <w:p w:rsidR="003D4B5A" w:rsidRDefault="003D4B5A"/>
    <w:p w:rsidR="003D4B5A" w:rsidRDefault="003D4B5A"/>
    <w:tbl>
      <w:tblPr>
        <w:tblStyle w:val="a4"/>
        <w:tblW w:w="15963" w:type="dxa"/>
        <w:jc w:val="center"/>
        <w:tblInd w:w="-34" w:type="dxa"/>
        <w:tblLook w:val="04A0"/>
      </w:tblPr>
      <w:tblGrid>
        <w:gridCol w:w="4395"/>
        <w:gridCol w:w="1579"/>
        <w:gridCol w:w="5922"/>
        <w:gridCol w:w="4067"/>
      </w:tblGrid>
      <w:tr w:rsidR="003D4B5A" w:rsidRPr="00323FDE" w:rsidTr="00323FDE">
        <w:trPr>
          <w:jc w:val="center"/>
        </w:trPr>
        <w:tc>
          <w:tcPr>
            <w:tcW w:w="4395" w:type="dxa"/>
          </w:tcPr>
          <w:p w:rsidR="003D4B5A" w:rsidRPr="00323FDE" w:rsidRDefault="003D4B5A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79" w:type="dxa"/>
          </w:tcPr>
          <w:p w:rsidR="003D4B5A" w:rsidRPr="00323FDE" w:rsidRDefault="003D4B5A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D4B5A" w:rsidRPr="00323FDE" w:rsidRDefault="003D4B5A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22" w:type="dxa"/>
          </w:tcPr>
          <w:p w:rsidR="003D4B5A" w:rsidRPr="00323FDE" w:rsidRDefault="003D4B5A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067" w:type="dxa"/>
          </w:tcPr>
          <w:p w:rsidR="003D4B5A" w:rsidRPr="00323FDE" w:rsidRDefault="003D4B5A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0512B" w:rsidRPr="00323FDE" w:rsidTr="00323FDE">
        <w:trPr>
          <w:jc w:val="center"/>
        </w:trPr>
        <w:tc>
          <w:tcPr>
            <w:tcW w:w="4395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16. Получение положительной экспе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тизы на проектно-сметную документ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цию на реконструкцию оросительных систем</w:t>
            </w:r>
          </w:p>
        </w:tc>
        <w:tc>
          <w:tcPr>
            <w:tcW w:w="1579" w:type="dxa"/>
          </w:tcPr>
          <w:p w:rsidR="0060512B" w:rsidRPr="00323FDE" w:rsidRDefault="0060512B" w:rsidP="00BA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5922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гласованию), пользователи мелиоративных систем (по согласованию)</w:t>
            </w:r>
          </w:p>
        </w:tc>
        <w:tc>
          <w:tcPr>
            <w:tcW w:w="4067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подтверждение обоснованности стоимости работ в соответствии с проектно-сметной документацией</w:t>
            </w:r>
          </w:p>
        </w:tc>
      </w:tr>
      <w:tr w:rsidR="0060512B" w:rsidRPr="00323FDE" w:rsidTr="00323FDE">
        <w:trPr>
          <w:jc w:val="center"/>
        </w:trPr>
        <w:tc>
          <w:tcPr>
            <w:tcW w:w="4395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17. Заключение договоров с подрядн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 организациями на проведение работ по реконструкции мелиоративных си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1579" w:type="dxa"/>
          </w:tcPr>
          <w:p w:rsidR="0060512B" w:rsidRPr="00323FDE" w:rsidRDefault="0060512B" w:rsidP="00BA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до 10 мая </w:t>
            </w:r>
          </w:p>
        </w:tc>
        <w:tc>
          <w:tcPr>
            <w:tcW w:w="5922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гласованию), пользователи мелиоративных систем (по согласованию)</w:t>
            </w:r>
          </w:p>
        </w:tc>
        <w:tc>
          <w:tcPr>
            <w:tcW w:w="4067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определение подрядных организаций и сроков выполнения работ</w:t>
            </w:r>
          </w:p>
        </w:tc>
      </w:tr>
      <w:tr w:rsidR="0060512B" w:rsidRPr="00323FDE" w:rsidTr="00323FDE">
        <w:trPr>
          <w:jc w:val="center"/>
        </w:trPr>
        <w:tc>
          <w:tcPr>
            <w:tcW w:w="4395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18. Представление пакета документов в Министерство сельского хозяйства и продовольствия Республики Тыва на получение государственной поддержки</w:t>
            </w:r>
          </w:p>
        </w:tc>
        <w:tc>
          <w:tcPr>
            <w:tcW w:w="1579" w:type="dxa"/>
          </w:tcPr>
          <w:p w:rsidR="0060512B" w:rsidRPr="00323FDE" w:rsidRDefault="0060512B" w:rsidP="00BA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5922" w:type="dxa"/>
          </w:tcPr>
          <w:p w:rsidR="0060512B" w:rsidRPr="00323FDE" w:rsidRDefault="000B14F8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гласованию), пользователи мелиоративных систем (по согласованию)</w:t>
            </w:r>
          </w:p>
        </w:tc>
        <w:tc>
          <w:tcPr>
            <w:tcW w:w="4067" w:type="dxa"/>
          </w:tcPr>
          <w:p w:rsidR="0060512B" w:rsidRPr="00323FDE" w:rsidRDefault="00323FDF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одтверждение права пользователя мелиоративных систем на получение государственной поддержки</w:t>
            </w:r>
          </w:p>
        </w:tc>
      </w:tr>
      <w:tr w:rsidR="0060512B" w:rsidRPr="00323FDE" w:rsidTr="00323FDE">
        <w:trPr>
          <w:jc w:val="center"/>
        </w:trPr>
        <w:tc>
          <w:tcPr>
            <w:tcW w:w="4395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19. Заключение соглашения о перечи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лении субсидий с сельскохозяйстве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ными товаропроизводителями</w:t>
            </w:r>
          </w:p>
        </w:tc>
        <w:tc>
          <w:tcPr>
            <w:tcW w:w="1579" w:type="dxa"/>
          </w:tcPr>
          <w:p w:rsidR="0060512B" w:rsidRPr="00323FDE" w:rsidRDefault="0060512B" w:rsidP="00BA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5922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067" w:type="dxa"/>
          </w:tcPr>
          <w:p w:rsidR="0060512B" w:rsidRPr="00323FDE" w:rsidRDefault="00323FDF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становление индикативных показ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телей, прав и обязатель</w:t>
            </w:r>
            <w:proofErr w:type="gramStart"/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орон по соглашению</w:t>
            </w:r>
          </w:p>
        </w:tc>
      </w:tr>
      <w:tr w:rsidR="0060512B" w:rsidRPr="00323FDE" w:rsidTr="00323FDE">
        <w:trPr>
          <w:jc w:val="center"/>
        </w:trPr>
        <w:tc>
          <w:tcPr>
            <w:tcW w:w="4395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20. Проведение промежуточной прове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ки хода реконструкции мелиоративных систем</w:t>
            </w:r>
          </w:p>
        </w:tc>
        <w:tc>
          <w:tcPr>
            <w:tcW w:w="1579" w:type="dxa"/>
          </w:tcPr>
          <w:p w:rsidR="0060512B" w:rsidRPr="00323FDE" w:rsidRDefault="0060512B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922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администрации муниципальных 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разований (по согласованию), ФГБУ «Управление «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Тывамелиоводхоз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» Республики Тыва, пользователи мелиоративных систем (по согласованию)</w:t>
            </w:r>
          </w:p>
        </w:tc>
        <w:tc>
          <w:tcPr>
            <w:tcW w:w="4067" w:type="dxa"/>
          </w:tcPr>
          <w:p w:rsidR="0060512B" w:rsidRPr="00323FDE" w:rsidRDefault="00323FDF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ониторинг и контроль за своевр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менным и эффективным освоением бюджетных средств</w:t>
            </w:r>
          </w:p>
        </w:tc>
      </w:tr>
      <w:tr w:rsidR="0060512B" w:rsidRPr="00323FDE" w:rsidTr="00323FDE">
        <w:trPr>
          <w:jc w:val="center"/>
        </w:trPr>
        <w:tc>
          <w:tcPr>
            <w:tcW w:w="4395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3D4B5A" w:rsidRPr="00323FDE">
              <w:rPr>
                <w:rFonts w:ascii="Times New Roman" w:hAnsi="Times New Roman" w:cs="Times New Roman"/>
                <w:sz w:val="24"/>
                <w:szCs w:val="24"/>
              </w:rPr>
              <w:t>Подписание 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3D4B5A"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323FDF"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-передач</w:t>
            </w:r>
            <w:proofErr w:type="spellEnd"/>
            <w:proofErr w:type="gram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реконструкции мелиоративных систем</w:t>
            </w:r>
          </w:p>
        </w:tc>
        <w:tc>
          <w:tcPr>
            <w:tcW w:w="1579" w:type="dxa"/>
          </w:tcPr>
          <w:p w:rsidR="0060512B" w:rsidRPr="00323FDE" w:rsidRDefault="0060512B" w:rsidP="00BA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</w:p>
        </w:tc>
        <w:tc>
          <w:tcPr>
            <w:tcW w:w="5922" w:type="dxa"/>
          </w:tcPr>
          <w:p w:rsidR="0060512B" w:rsidRPr="00323FDE" w:rsidRDefault="0060512B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администрации муниципальных 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разований (по согласованию), ФГБУ «Управление «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Тывамелиоводхоз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» Республики Тыва (по согласов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нию), пользователи мелиоративных систем (по согл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067" w:type="dxa"/>
          </w:tcPr>
          <w:p w:rsidR="0060512B" w:rsidRPr="00323FDE" w:rsidRDefault="00323FDF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еконструкция 6 муниципальных мелиоративных систем и введение в эксплуатацию не менее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4186 га ор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12B" w:rsidRPr="00323FDE">
              <w:rPr>
                <w:rFonts w:ascii="Times New Roman" w:hAnsi="Times New Roman" w:cs="Times New Roman"/>
                <w:sz w:val="24"/>
                <w:szCs w:val="24"/>
              </w:rPr>
              <w:t>шаемых земель</w:t>
            </w:r>
          </w:p>
        </w:tc>
      </w:tr>
      <w:tr w:rsidR="00323FDE" w:rsidRPr="00323FDE" w:rsidTr="00323FDE">
        <w:trPr>
          <w:jc w:val="center"/>
        </w:trPr>
        <w:tc>
          <w:tcPr>
            <w:tcW w:w="15963" w:type="dxa"/>
            <w:gridSpan w:val="4"/>
          </w:tcPr>
          <w:p w:rsidR="00323FDE" w:rsidRPr="00323FDE" w:rsidRDefault="00323FDE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IV. Строительство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зернотоков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Тандинском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Чаа-Хольском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BA2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22. Отвод земельн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зернотоков</w:t>
            </w:r>
            <w:proofErr w:type="spellEnd"/>
          </w:p>
        </w:tc>
        <w:tc>
          <w:tcPr>
            <w:tcW w:w="1579" w:type="dxa"/>
          </w:tcPr>
          <w:p w:rsidR="00323FDE" w:rsidRDefault="00323FDE" w:rsidP="00323FDE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3FDE" w:rsidRPr="00323FDE" w:rsidRDefault="00323FDE" w:rsidP="00323FDE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323FDE" w:rsidRPr="00323FDE" w:rsidRDefault="00323FDE" w:rsidP="007C2F03">
            <w:pPr>
              <w:keepNext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инициаторы проектов</w:t>
            </w:r>
          </w:p>
        </w:tc>
        <w:tc>
          <w:tcPr>
            <w:tcW w:w="4067" w:type="dxa"/>
          </w:tcPr>
          <w:p w:rsidR="00323FDE" w:rsidRPr="00323FDE" w:rsidRDefault="00323FDE" w:rsidP="00BA2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определение и отв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323FDE" w:rsidRDefault="00323FDE"/>
    <w:p w:rsidR="00323FDE" w:rsidRDefault="00323FDE"/>
    <w:p w:rsidR="00323FDE" w:rsidRDefault="00323FDE"/>
    <w:p w:rsidR="00323FDE" w:rsidRDefault="00323FDE"/>
    <w:tbl>
      <w:tblPr>
        <w:tblStyle w:val="a4"/>
        <w:tblW w:w="15963" w:type="dxa"/>
        <w:jc w:val="center"/>
        <w:tblInd w:w="-34" w:type="dxa"/>
        <w:tblLook w:val="04A0"/>
      </w:tblPr>
      <w:tblGrid>
        <w:gridCol w:w="4395"/>
        <w:gridCol w:w="1579"/>
        <w:gridCol w:w="5922"/>
        <w:gridCol w:w="4067"/>
      </w:tblGrid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</w:tcPr>
          <w:p w:rsidR="00323FDE" w:rsidRPr="00323FDE" w:rsidRDefault="00323FDE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23FDE" w:rsidRPr="00323FDE" w:rsidRDefault="00323FDE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22" w:type="dxa"/>
          </w:tcPr>
          <w:p w:rsidR="00323FDE" w:rsidRPr="00323FDE" w:rsidRDefault="00323FDE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067" w:type="dxa"/>
          </w:tcPr>
          <w:p w:rsidR="00323FDE" w:rsidRPr="00323FDE" w:rsidRDefault="00323FDE" w:rsidP="003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23. Сбор заявок на предоставление г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сударственной поддержки на стро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и приобретение оборудования для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зернотоков</w:t>
            </w:r>
            <w:proofErr w:type="spellEnd"/>
          </w:p>
        </w:tc>
        <w:tc>
          <w:tcPr>
            <w:tcW w:w="1579" w:type="dxa"/>
          </w:tcPr>
          <w:p w:rsidR="00323FDE" w:rsidRPr="00323FDE" w:rsidRDefault="00323FDE" w:rsidP="00BA24D1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5922" w:type="dxa"/>
          </w:tcPr>
          <w:p w:rsidR="00323FDE" w:rsidRPr="00323FDE" w:rsidRDefault="00323FDE" w:rsidP="007C2F03">
            <w:pPr>
              <w:keepNext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отбор участников проекта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24. Заключение соглашений о предо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тавлении субсидий на реализацию пр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579" w:type="dxa"/>
          </w:tcPr>
          <w:p w:rsidR="00323FDE" w:rsidRPr="00323FDE" w:rsidRDefault="00323FDE" w:rsidP="00BA24D1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22" w:type="dxa"/>
          </w:tcPr>
          <w:p w:rsidR="00323FDE" w:rsidRPr="00323FDE" w:rsidRDefault="00323FDE" w:rsidP="007C2F03">
            <w:pPr>
              <w:keepNext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установление индикативных показ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телей, прав и обязатель</w:t>
            </w:r>
            <w:proofErr w:type="gram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орон по соглашению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25. Контроль и мониторинг целевого и эффективного расходования бюдже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579" w:type="dxa"/>
          </w:tcPr>
          <w:p w:rsidR="00323FDE" w:rsidRPr="00323FDE" w:rsidRDefault="00BA24D1" w:rsidP="00323FDE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2" w:type="dxa"/>
          </w:tcPr>
          <w:p w:rsidR="00323FDE" w:rsidRPr="00323FDE" w:rsidRDefault="00323FDE" w:rsidP="007C2F03">
            <w:pPr>
              <w:keepNext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обеспечение 15 процентов потребн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сти сельскохозяйственных товар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производителей семенами собстве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ного производства, создание не м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нее 8 рабочих мест</w:t>
            </w:r>
          </w:p>
        </w:tc>
      </w:tr>
      <w:tr w:rsidR="00323FDE" w:rsidRPr="00323FDE" w:rsidTr="00323FDE">
        <w:trPr>
          <w:jc w:val="center"/>
        </w:trPr>
        <w:tc>
          <w:tcPr>
            <w:tcW w:w="15963" w:type="dxa"/>
            <w:gridSpan w:val="4"/>
          </w:tcPr>
          <w:p w:rsidR="00323FDE" w:rsidRPr="00323FDE" w:rsidRDefault="00323FDE" w:rsidP="007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Утверждение концепции создания туристического комплекса «Марал – Тува»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26. Перевод земель из 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земель 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proofErr w:type="gram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категорию особо охраняемых террит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579" w:type="dxa"/>
          </w:tcPr>
          <w:p w:rsidR="00323FDE" w:rsidRPr="00323FDE" w:rsidRDefault="00323FDE" w:rsidP="00BA24D1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</w:tc>
        <w:tc>
          <w:tcPr>
            <w:tcW w:w="5922" w:type="dxa"/>
          </w:tcPr>
          <w:p w:rsidR="00323FDE" w:rsidRPr="00323FDE" w:rsidRDefault="00323FDE" w:rsidP="00BA24D1">
            <w:pPr>
              <w:keepNext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ний Республики Тыва, администраци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Пий-Хемского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ГУП «Мараловодческое хозяйство «Туран»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категории земельного участка планируемому объекту строительства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27. Разработка 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ского задания на проектирование тур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стического комплекса «Марал-Тува»</w:t>
            </w:r>
          </w:p>
        </w:tc>
        <w:tc>
          <w:tcPr>
            <w:tcW w:w="1579" w:type="dxa"/>
          </w:tcPr>
          <w:p w:rsidR="00323FDE" w:rsidRPr="00323FDE" w:rsidRDefault="00323FDE" w:rsidP="00BA24D1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5922" w:type="dxa"/>
          </w:tcPr>
          <w:p w:rsidR="00323FDE" w:rsidRPr="00323FDE" w:rsidRDefault="00323FDE" w:rsidP="007C2F03">
            <w:pPr>
              <w:keepNext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ГУП «Мараловодческое хозяйство «Туран»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для проект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28. Проведение торгов на определение проектной организации для разработки ПСД туристического комплекса «М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рал-Тува»</w:t>
            </w:r>
          </w:p>
        </w:tc>
        <w:tc>
          <w:tcPr>
            <w:tcW w:w="1579" w:type="dxa"/>
          </w:tcPr>
          <w:p w:rsidR="00323FDE" w:rsidRPr="00323FDE" w:rsidRDefault="00323FDE" w:rsidP="00BA24D1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922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ГУП «Мараловодческое хозяйство «Туран»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определение проектной организации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BA2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29. Обеспечени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венной экспертизы проектно-сметной документации</w:t>
            </w:r>
          </w:p>
        </w:tc>
        <w:tc>
          <w:tcPr>
            <w:tcW w:w="1579" w:type="dxa"/>
          </w:tcPr>
          <w:p w:rsidR="007C2F03" w:rsidRDefault="00323FDE" w:rsidP="00323FDE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3FDE" w:rsidRPr="00323FDE" w:rsidRDefault="00323FDE" w:rsidP="00323FDE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ГУП «Мараловодческое хозяйство «Туран»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обоснованности стоимости работ в соответствии с </w:t>
            </w:r>
            <w:r w:rsidR="007C2F03" w:rsidRPr="00323FDE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</w:t>
            </w:r>
          </w:p>
        </w:tc>
      </w:tr>
      <w:tr w:rsidR="00323FDE" w:rsidRPr="00323FDE" w:rsidTr="00323FDE">
        <w:trPr>
          <w:jc w:val="center"/>
        </w:trPr>
        <w:tc>
          <w:tcPr>
            <w:tcW w:w="4395" w:type="dxa"/>
          </w:tcPr>
          <w:p w:rsidR="00323FDE" w:rsidRPr="00323FDE" w:rsidRDefault="00323FDE" w:rsidP="0032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30. Разработка плана мероприятий по реализации проекта</w:t>
            </w:r>
          </w:p>
        </w:tc>
        <w:tc>
          <w:tcPr>
            <w:tcW w:w="1579" w:type="dxa"/>
          </w:tcPr>
          <w:p w:rsidR="007C2F03" w:rsidRDefault="00323FDE" w:rsidP="00323FDE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3FDE" w:rsidRPr="00323FDE" w:rsidRDefault="00323FDE" w:rsidP="00323FDE">
            <w:pPr>
              <w:keepNext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323FDE" w:rsidRPr="00323FDE" w:rsidRDefault="00323FDE" w:rsidP="007C2F03">
            <w:pPr>
              <w:keepNext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ГУП «Мараловодческое хозяйство «Туран»</w:t>
            </w:r>
          </w:p>
        </w:tc>
        <w:tc>
          <w:tcPr>
            <w:tcW w:w="4067" w:type="dxa"/>
          </w:tcPr>
          <w:p w:rsidR="00323FDE" w:rsidRPr="00323FDE" w:rsidRDefault="00323FDE" w:rsidP="007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источника финансир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3FDE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</w:tr>
    </w:tbl>
    <w:p w:rsidR="00D40FB8" w:rsidRDefault="00D40FB8"/>
    <w:sectPr w:rsidR="00D40FB8" w:rsidSect="0060512B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49" w:rsidRDefault="00446C49" w:rsidP="0060512B">
      <w:r>
        <w:separator/>
      </w:r>
    </w:p>
  </w:endnote>
  <w:endnote w:type="continuationSeparator" w:id="0">
    <w:p w:rsidR="00446C49" w:rsidRDefault="00446C49" w:rsidP="0060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D1" w:rsidRDefault="00BA24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D1" w:rsidRDefault="00BA24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D1" w:rsidRDefault="00BA24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49" w:rsidRDefault="00446C49" w:rsidP="0060512B">
      <w:r>
        <w:separator/>
      </w:r>
    </w:p>
  </w:footnote>
  <w:footnote w:type="continuationSeparator" w:id="0">
    <w:p w:rsidR="00446C49" w:rsidRDefault="00446C49" w:rsidP="0060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D1" w:rsidRDefault="00BA24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838"/>
    </w:sdtPr>
    <w:sdtContent>
      <w:p w:rsidR="00323FDE" w:rsidRDefault="00531B63">
        <w:pPr>
          <w:pStyle w:val="a6"/>
          <w:jc w:val="right"/>
        </w:pPr>
        <w:fldSimple w:instr=" PAGE   \* MERGEFORMAT ">
          <w:r w:rsidR="007B558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D1" w:rsidRDefault="00BA24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076"/>
    <w:multiLevelType w:val="hybridMultilevel"/>
    <w:tmpl w:val="D39A4C5E"/>
    <w:lvl w:ilvl="0" w:tplc="E5D6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0D0F"/>
    <w:multiLevelType w:val="hybridMultilevel"/>
    <w:tmpl w:val="5CC0C506"/>
    <w:lvl w:ilvl="0" w:tplc="220C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1516ec-f2d8-462b-bda2-fb691051fc76"/>
  </w:docVars>
  <w:rsids>
    <w:rsidRoot w:val="0060512B"/>
    <w:rsid w:val="000B14F8"/>
    <w:rsid w:val="00323FDE"/>
    <w:rsid w:val="00323FDF"/>
    <w:rsid w:val="003C76B2"/>
    <w:rsid w:val="003D4B5A"/>
    <w:rsid w:val="00416788"/>
    <w:rsid w:val="00446C49"/>
    <w:rsid w:val="00531B63"/>
    <w:rsid w:val="005A0DD7"/>
    <w:rsid w:val="005C2102"/>
    <w:rsid w:val="0060512B"/>
    <w:rsid w:val="00655B3F"/>
    <w:rsid w:val="00675D75"/>
    <w:rsid w:val="007A5F98"/>
    <w:rsid w:val="007B5580"/>
    <w:rsid w:val="007C2F03"/>
    <w:rsid w:val="008A25F3"/>
    <w:rsid w:val="008B738A"/>
    <w:rsid w:val="008D7C5F"/>
    <w:rsid w:val="00B25E35"/>
    <w:rsid w:val="00B4252B"/>
    <w:rsid w:val="00B77037"/>
    <w:rsid w:val="00BA24D1"/>
    <w:rsid w:val="00CC65DE"/>
    <w:rsid w:val="00D40FB8"/>
    <w:rsid w:val="00DE0B14"/>
    <w:rsid w:val="00E26B8A"/>
    <w:rsid w:val="00EC67D2"/>
    <w:rsid w:val="00F33332"/>
    <w:rsid w:val="00FD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12B"/>
    <w:rPr>
      <w:color w:val="0000FF"/>
      <w:u w:val="single"/>
    </w:rPr>
  </w:style>
  <w:style w:type="table" w:styleId="a4">
    <w:name w:val="Table Grid"/>
    <w:basedOn w:val="a1"/>
    <w:uiPriority w:val="39"/>
    <w:rsid w:val="006051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1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51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12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12B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4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2020-04-03T10:34:00Z</cp:lastPrinted>
  <dcterms:created xsi:type="dcterms:W3CDTF">2020-04-06T08:02:00Z</dcterms:created>
  <dcterms:modified xsi:type="dcterms:W3CDTF">2020-04-06T08:03:00Z</dcterms:modified>
</cp:coreProperties>
</file>